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940DE" w14:textId="126DA316"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00897087" w:rsidRPr="00897087">
        <w:rPr>
          <w:rFonts w:ascii="Arial" w:eastAsia="SimSun" w:hAnsi="Arial" w:cs="Times New Roman"/>
          <w:b/>
          <w:bCs/>
          <w:sz w:val="24"/>
          <w:szCs w:val="20"/>
          <w:lang w:val="en-US" w:eastAsia="ja-JP"/>
        </w:rPr>
        <w:t>R4-2408510</w:t>
      </w:r>
    </w:p>
    <w:p w14:paraId="267A77E4"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4356273E"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B2C3EF4"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4B77F0C7" w14:textId="33BC6D6D" w:rsidR="00841BCD" w:rsidRPr="0049393F" w:rsidRDefault="00841BCD" w:rsidP="00841BCD">
      <w:pPr>
        <w:ind w:left="1985" w:hanging="1985"/>
        <w:rPr>
          <w:rFonts w:ascii="Arial" w:eastAsia="Calibri" w:hAnsi="Arial" w:cs="Arial"/>
          <w:b/>
          <w:bCs/>
          <w:sz w:val="24"/>
        </w:rPr>
      </w:pPr>
      <w:r w:rsidRPr="0049393F">
        <w:rPr>
          <w:rFonts w:ascii="Arial" w:eastAsia="Calibri" w:hAnsi="Arial" w:cs="Arial"/>
          <w:b/>
          <w:bCs/>
          <w:sz w:val="24"/>
        </w:rPr>
        <w:t>Title:</w:t>
      </w:r>
      <w:r w:rsidRPr="0049393F">
        <w:rPr>
          <w:rFonts w:ascii="Arial" w:eastAsia="Calibri" w:hAnsi="Arial" w:cs="Arial"/>
          <w:b/>
          <w:bCs/>
          <w:sz w:val="24"/>
        </w:rPr>
        <w:tab/>
      </w:r>
      <w:r w:rsidR="007B7198">
        <w:rPr>
          <w:rFonts w:ascii="Arial" w:eastAsia="Calibri" w:hAnsi="Arial" w:cs="Arial"/>
          <w:b/>
          <w:bCs/>
          <w:sz w:val="24"/>
        </w:rPr>
        <w:t>Di</w:t>
      </w:r>
      <w:r w:rsidR="00897087">
        <w:rPr>
          <w:rFonts w:ascii="Arial" w:eastAsia="Calibri" w:hAnsi="Arial" w:cs="Arial"/>
          <w:b/>
          <w:bCs/>
          <w:sz w:val="24"/>
        </w:rPr>
        <w:t>s</w:t>
      </w:r>
      <w:r w:rsidR="007B7198">
        <w:rPr>
          <w:rFonts w:ascii="Arial" w:eastAsia="Calibri" w:hAnsi="Arial" w:cs="Arial"/>
          <w:b/>
          <w:bCs/>
          <w:sz w:val="24"/>
        </w:rPr>
        <w:t xml:space="preserve">cussion on </w:t>
      </w:r>
      <w:r w:rsidR="00695E8C">
        <w:rPr>
          <w:rFonts w:ascii="Arial" w:eastAsia="Calibri" w:hAnsi="Arial" w:cs="Arial"/>
          <w:b/>
          <w:bCs/>
          <w:sz w:val="24"/>
        </w:rPr>
        <w:t>Side Conditions for UE transmit timing requirements</w:t>
      </w:r>
    </w:p>
    <w:p w14:paraId="535CEFD6" w14:textId="72E4A0C6" w:rsidR="00841BCD" w:rsidRPr="007B7198" w:rsidRDefault="00841BCD" w:rsidP="00841BCD">
      <w:pPr>
        <w:tabs>
          <w:tab w:val="left" w:pos="1985"/>
        </w:tabs>
        <w:spacing w:after="120" w:line="240" w:lineRule="auto"/>
        <w:rPr>
          <w:rFonts w:ascii="Arial" w:eastAsia="MS Mincho" w:hAnsi="Arial" w:cs="Arial"/>
          <w:b/>
          <w:bCs/>
          <w:sz w:val="24"/>
          <w:szCs w:val="20"/>
        </w:rPr>
      </w:pPr>
      <w:r w:rsidRPr="007B7198">
        <w:rPr>
          <w:rFonts w:ascii="Arial" w:eastAsia="MS Mincho" w:hAnsi="Arial" w:cs="Arial"/>
          <w:b/>
          <w:bCs/>
          <w:sz w:val="24"/>
          <w:szCs w:val="20"/>
        </w:rPr>
        <w:t>Agenda item:</w:t>
      </w:r>
      <w:r w:rsidRPr="007B7198">
        <w:rPr>
          <w:rFonts w:ascii="Arial" w:eastAsia="MS Mincho" w:hAnsi="Arial" w:cs="Arial"/>
          <w:b/>
          <w:bCs/>
          <w:sz w:val="24"/>
          <w:szCs w:val="20"/>
        </w:rPr>
        <w:tab/>
      </w:r>
      <w:r w:rsidR="00667F53">
        <w:rPr>
          <w:rFonts w:ascii="Arial" w:eastAsia="MS Mincho" w:hAnsi="Arial" w:cs="Arial"/>
          <w:b/>
          <w:bCs/>
          <w:sz w:val="24"/>
          <w:szCs w:val="20"/>
        </w:rPr>
        <w:t>7.16.</w:t>
      </w:r>
      <w:r w:rsidR="00C238E7">
        <w:rPr>
          <w:rFonts w:ascii="Arial" w:eastAsia="MS Mincho" w:hAnsi="Arial" w:cs="Arial"/>
          <w:b/>
          <w:bCs/>
          <w:sz w:val="24"/>
          <w:szCs w:val="20"/>
        </w:rPr>
        <w:t>6</w:t>
      </w:r>
      <w:r w:rsidR="00667F53">
        <w:rPr>
          <w:rFonts w:ascii="Arial" w:eastAsia="MS Mincho" w:hAnsi="Arial" w:cs="Arial"/>
          <w:b/>
          <w:bCs/>
          <w:sz w:val="24"/>
          <w:szCs w:val="20"/>
        </w:rPr>
        <w:t>.1</w:t>
      </w:r>
    </w:p>
    <w:p w14:paraId="2F69D403"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09F746D1" w14:textId="77777777" w:rsidR="00E323E9" w:rsidRPr="00614DD8" w:rsidRDefault="00E323E9" w:rsidP="00841BCD">
      <w:pPr>
        <w:tabs>
          <w:tab w:val="left" w:pos="1985"/>
        </w:tabs>
        <w:rPr>
          <w:rFonts w:ascii="Arial" w:eastAsia="Calibri" w:hAnsi="Arial" w:cs="Arial"/>
          <w:b/>
          <w:bCs/>
          <w:sz w:val="24"/>
          <w:lang w:val="en-US"/>
        </w:rPr>
      </w:pPr>
    </w:p>
    <w:p w14:paraId="6E647D97"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2032F681" w14:textId="0FAEA357" w:rsidR="004E7EC0" w:rsidRPr="004E7EC0" w:rsidRDefault="004E7EC0" w:rsidP="004E7EC0">
      <w:pPr>
        <w:rPr>
          <w:lang w:val="en-US"/>
        </w:rPr>
      </w:pPr>
      <w:r w:rsidRPr="004E7EC0">
        <w:rPr>
          <w:lang w:val="en-US"/>
        </w:rPr>
        <w:t xml:space="preserve">The NTN WI, as presented in [1], includes </w:t>
      </w:r>
      <w:r>
        <w:rPr>
          <w:lang w:val="en-US"/>
        </w:rPr>
        <w:t>objectives for enabling NTN in bands above</w:t>
      </w:r>
      <w:r w:rsidRPr="004E7EC0">
        <w:rPr>
          <w:lang w:val="en-US"/>
        </w:rPr>
        <w:t xml:space="preserve"> 10GHz. In previous meetings, it became clear that the timing pre-compensation might be an issue for th</w:t>
      </w:r>
      <w:r>
        <w:rPr>
          <w:lang w:val="en-US"/>
        </w:rPr>
        <w:t>is</w:t>
      </w:r>
      <w:r w:rsidRPr="004E7EC0">
        <w:rPr>
          <w:lang w:val="en-US"/>
        </w:rPr>
        <w:t xml:space="preserve"> operation</w:t>
      </w:r>
      <w:r>
        <w:rPr>
          <w:lang w:val="en-US"/>
        </w:rPr>
        <w:t xml:space="preserve">. </w:t>
      </w:r>
      <w:r w:rsidRPr="004E7EC0">
        <w:rPr>
          <w:lang w:val="en-US"/>
        </w:rPr>
        <w:t xml:space="preserve">In the </w:t>
      </w:r>
      <w:r w:rsidR="00C238E7">
        <w:rPr>
          <w:lang w:val="en-US"/>
        </w:rPr>
        <w:t>last</w:t>
      </w:r>
      <w:r w:rsidRPr="004E7EC0">
        <w:rPr>
          <w:lang w:val="en-US"/>
        </w:rPr>
        <w:t xml:space="preserve"> meeting, RAN4 has </w:t>
      </w:r>
      <w:r w:rsidR="00C238E7">
        <w:rPr>
          <w:lang w:val="en-US"/>
        </w:rPr>
        <w:t xml:space="preserve">discussed whether side condition is needed for the applicability of the timing accuracy requirements in NTN operating in FR2-NTN. </w:t>
      </w:r>
      <w:r>
        <w:rPr>
          <w:lang w:val="en-US"/>
        </w:rPr>
        <w:t xml:space="preserve"> </w:t>
      </w:r>
    </w:p>
    <w:p w14:paraId="5E277506" w14:textId="045AD33F" w:rsidR="0060543D" w:rsidRPr="004E7EC0" w:rsidRDefault="00C238E7" w:rsidP="004E7EC0">
      <w:r>
        <w:rPr>
          <w:lang w:val="en-US"/>
        </w:rPr>
        <w:t xml:space="preserve">In this paper we discuss the applicability of such side conditions. </w:t>
      </w:r>
    </w:p>
    <w:p w14:paraId="552434C0" w14:textId="575B048D" w:rsidR="004E7EC0" w:rsidRDefault="003B659E" w:rsidP="006308C2">
      <w:pPr>
        <w:pStyle w:val="RAN4H1"/>
        <w:rPr>
          <w:lang w:val="en-US"/>
        </w:rPr>
      </w:pPr>
      <w:bookmarkStart w:id="4" w:name="_Toc116995842"/>
      <w:r w:rsidRPr="00614DD8">
        <w:rPr>
          <w:lang w:val="en-US"/>
        </w:rPr>
        <w:t>Discussion</w:t>
      </w:r>
      <w:bookmarkEnd w:id="4"/>
    </w:p>
    <w:p w14:paraId="49F8FD9C" w14:textId="52F2E3E0" w:rsidR="006308C2" w:rsidRPr="006308C2" w:rsidRDefault="006308C2" w:rsidP="006308C2">
      <w:pPr>
        <w:rPr>
          <w:lang w:val="en-US"/>
        </w:rPr>
      </w:pPr>
      <w:r>
        <w:rPr>
          <w:lang w:val="en-US"/>
        </w:rPr>
        <w:t xml:space="preserve">In </w:t>
      </w:r>
      <w:r>
        <w:rPr>
          <w:lang w:val="en-US"/>
        </w:rPr>
        <w:fldChar w:fldCharType="begin"/>
      </w:r>
      <w:r>
        <w:rPr>
          <w:lang w:val="en-US"/>
        </w:rPr>
        <w:instrText xml:space="preserve"> REF _Ref163487327 \r \h </w:instrText>
      </w:r>
      <w:r>
        <w:rPr>
          <w:lang w:val="en-US"/>
        </w:rPr>
      </w:r>
      <w:r>
        <w:rPr>
          <w:lang w:val="en-US"/>
        </w:rPr>
        <w:fldChar w:fldCharType="separate"/>
      </w:r>
      <w:r>
        <w:rPr>
          <w:lang w:val="en-US"/>
        </w:rPr>
        <w:t>[2]</w:t>
      </w:r>
      <w:r>
        <w:rPr>
          <w:lang w:val="en-US"/>
        </w:rPr>
        <w:fldChar w:fldCharType="end"/>
      </w:r>
      <w:r>
        <w:rPr>
          <w:lang w:val="en-US"/>
        </w:rPr>
        <w:t xml:space="preserve">, RAN4 has discussed whether it is needed </w:t>
      </w:r>
      <w:r w:rsidR="00BD647D">
        <w:rPr>
          <w:lang w:val="en-US"/>
        </w:rPr>
        <w:t>to have a side condition to establish that the transmit timing requirements are only applicable in FR2-NTN, when UL SCS used is 120 kHz if the ephemeris information is updated at least every X seconds:</w:t>
      </w:r>
    </w:p>
    <w:tbl>
      <w:tblPr>
        <w:tblStyle w:val="TableGrid"/>
        <w:tblW w:w="0" w:type="auto"/>
        <w:tblLook w:val="04A0" w:firstRow="1" w:lastRow="0" w:firstColumn="1" w:lastColumn="0" w:noHBand="0" w:noVBand="1"/>
      </w:tblPr>
      <w:tblGrid>
        <w:gridCol w:w="9617"/>
      </w:tblGrid>
      <w:tr w:rsidR="006308C2" w14:paraId="699DBBCD" w14:textId="77777777" w:rsidTr="006308C2">
        <w:tc>
          <w:tcPr>
            <w:tcW w:w="9617" w:type="dxa"/>
          </w:tcPr>
          <w:p w14:paraId="4787B7E4" w14:textId="77777777" w:rsidR="006308C2" w:rsidRDefault="006308C2" w:rsidP="006308C2">
            <w:pPr>
              <w:spacing w:after="120" w:line="252" w:lineRule="auto"/>
              <w:ind w:firstLine="284"/>
              <w:rPr>
                <w:b/>
                <w:bCs/>
                <w:highlight w:val="green"/>
                <w:u w:val="single"/>
                <w:lang w:eastAsia="ja-JP"/>
              </w:rPr>
            </w:pPr>
            <w:bookmarkStart w:id="5" w:name="_Toc116995849"/>
            <w:r>
              <w:rPr>
                <w:b/>
                <w:bCs/>
                <w:highlight w:val="green"/>
                <w:u w:val="single"/>
                <w:lang w:eastAsia="ja-JP"/>
              </w:rPr>
              <w:t>Agreement: (ad-hoc agreement)</w:t>
            </w:r>
          </w:p>
          <w:p w14:paraId="3CA66F7C" w14:textId="77777777" w:rsidR="006308C2" w:rsidRDefault="006308C2" w:rsidP="006308C2">
            <w:pPr>
              <w:pStyle w:val="ListParagraph"/>
              <w:numPr>
                <w:ilvl w:val="0"/>
                <w:numId w:val="28"/>
              </w:numPr>
              <w:overflowPunct w:val="0"/>
              <w:autoSpaceDE w:val="0"/>
              <w:autoSpaceDN w:val="0"/>
              <w:adjustRightInd w:val="0"/>
              <w:spacing w:after="180" w:line="276" w:lineRule="auto"/>
              <w:ind w:left="644"/>
              <w:textAlignment w:val="baseline"/>
              <w:rPr>
                <w:lang w:eastAsia="ja-JP"/>
              </w:rPr>
            </w:pPr>
            <w:r>
              <w:rPr>
                <w:lang w:eastAsia="ja-JP"/>
              </w:rPr>
              <w:t>For 120kHz of UL SCS in case2, the requirements are applicable only if the ephemeris information be refreshed (i.e. update rate of ephemeris information in SIB19) at least every X seconds.</w:t>
            </w:r>
          </w:p>
          <w:p w14:paraId="580FB0BA" w14:textId="77777777" w:rsidR="006308C2" w:rsidRDefault="006308C2" w:rsidP="006308C2">
            <w:pPr>
              <w:pStyle w:val="ListParagraph"/>
              <w:numPr>
                <w:ilvl w:val="1"/>
                <w:numId w:val="28"/>
              </w:numPr>
              <w:overflowPunct w:val="0"/>
              <w:autoSpaceDE w:val="0"/>
              <w:autoSpaceDN w:val="0"/>
              <w:adjustRightInd w:val="0"/>
              <w:spacing w:after="180" w:line="276" w:lineRule="auto"/>
              <w:ind w:left="1364"/>
              <w:textAlignment w:val="baseline"/>
              <w:rPr>
                <w:lang w:eastAsia="zh-CN"/>
              </w:rPr>
            </w:pPr>
            <w:r>
              <w:rPr>
                <w:lang w:eastAsia="zh-CN"/>
              </w:rPr>
              <w:t>X= [7] s</w:t>
            </w:r>
          </w:p>
          <w:p w14:paraId="11BBB865" w14:textId="77777777" w:rsidR="006308C2" w:rsidRDefault="006308C2" w:rsidP="008C39F7">
            <w:pPr>
              <w:rPr>
                <w:lang w:val="en-US"/>
              </w:rPr>
            </w:pPr>
          </w:p>
        </w:tc>
      </w:tr>
    </w:tbl>
    <w:p w14:paraId="493B90DE" w14:textId="53A0CDD1" w:rsidR="00BD647D" w:rsidRDefault="00BD647D" w:rsidP="008C39F7">
      <w:pPr>
        <w:rPr>
          <w:lang w:val="en-US"/>
        </w:rPr>
      </w:pPr>
    </w:p>
    <w:p w14:paraId="388A627F" w14:textId="77777777" w:rsidR="00BD647D" w:rsidRDefault="00BD647D" w:rsidP="008C39F7">
      <w:r>
        <w:rPr>
          <w:lang w:val="en-US"/>
        </w:rPr>
        <w:t xml:space="preserve">In </w:t>
      </w:r>
      <w:r>
        <w:rPr>
          <w:lang w:val="en-US"/>
        </w:rPr>
        <w:fldChar w:fldCharType="begin"/>
      </w:r>
      <w:r>
        <w:rPr>
          <w:lang w:val="en-US"/>
        </w:rPr>
        <w:instrText xml:space="preserve"> REF _Ref165987384 \r \h </w:instrText>
      </w:r>
      <w:r>
        <w:rPr>
          <w:lang w:val="en-US"/>
        </w:rPr>
      </w:r>
      <w:r>
        <w:rPr>
          <w:lang w:val="en-US"/>
        </w:rPr>
        <w:fldChar w:fldCharType="separate"/>
      </w:r>
      <w:r>
        <w:rPr>
          <w:lang w:val="en-US"/>
        </w:rPr>
        <w:t>[3]</w:t>
      </w:r>
      <w:r>
        <w:rPr>
          <w:lang w:val="en-US"/>
        </w:rPr>
        <w:fldChar w:fldCharType="end"/>
      </w:r>
      <w:r>
        <w:rPr>
          <w:lang w:val="en-US"/>
        </w:rPr>
        <w:t xml:space="preserve">, it was pointed out that the frequency the UE reads the ephemeris information is limited by the maximum interval between consecutive readings, </w:t>
      </w:r>
      <w:r w:rsidRPr="00BD647D">
        <w:rPr>
          <w:i/>
          <w:iCs/>
        </w:rPr>
        <w:t>ntn-UlSyncValidityDuration-r17</w:t>
      </w:r>
      <w:r>
        <w:t xml:space="preserve">. The amount of times a UE reads the information within the validity duration is up for UE implementation. </w:t>
      </w:r>
    </w:p>
    <w:p w14:paraId="6186B4AD" w14:textId="3663D350" w:rsidR="00414A70" w:rsidRDefault="00BD647D" w:rsidP="008C39F7">
      <w:r>
        <w:t>The condition is set, such that this would mandate the network to update satellite ephemeris, as imprecise or outdated satellite ephemeris might be a confounding source of further inaccuracies. However, an investigative study of how precise the UE can estimate satellite ephemeris overtime based on the information provided in SIB19 was provided in</w:t>
      </w:r>
      <w:r w:rsidR="00F177B8">
        <w:t xml:space="preserve"> </w:t>
      </w:r>
      <w:r w:rsidR="00F177B8">
        <w:fldChar w:fldCharType="begin"/>
      </w:r>
      <w:r w:rsidR="00F177B8">
        <w:instrText xml:space="preserve"> REF _Ref166498964 \r \h </w:instrText>
      </w:r>
      <w:r w:rsidR="00F177B8">
        <w:fldChar w:fldCharType="separate"/>
      </w:r>
      <w:r w:rsidR="00F177B8">
        <w:t>[4]</w:t>
      </w:r>
      <w:r w:rsidR="00F177B8">
        <w:fldChar w:fldCharType="end"/>
      </w:r>
      <w:r w:rsidR="00414A70">
        <w:t xml:space="preserve">. </w:t>
      </w:r>
    </w:p>
    <w:p w14:paraId="1953482C" w14:textId="607A203E" w:rsidR="00883F23" w:rsidRDefault="00883F23" w:rsidP="008C39F7">
      <w:r>
        <w:t xml:space="preserve">In there, authors analyse the degradation of the ephemeris estimation over time, and the overall absolute position error using a Keplerian model is stated to be around 6.6 m for 10 s. Therefore, very little error is expected due to estimation of Satellite position based on ephemeris information in a span of 10s. Considering that the NW shall update ephemeris information </w:t>
      </w:r>
      <w:r w:rsidRPr="00883F23">
        <w:rPr>
          <w:b/>
          <w:bCs/>
          <w:u w:val="single"/>
        </w:rPr>
        <w:t>at least</w:t>
      </w:r>
      <w:r>
        <w:t xml:space="preserve"> every 10.24 s, it is not expected dilution of precision of UE positioning based on satellite assistance information. </w:t>
      </w:r>
    </w:p>
    <w:p w14:paraId="0640071B" w14:textId="0FC2AD84" w:rsidR="00883F23" w:rsidRDefault="00883F23" w:rsidP="00883F23">
      <w:pPr>
        <w:pStyle w:val="RAN4observation0"/>
      </w:pPr>
      <w:bookmarkStart w:id="6" w:name="_Toc166505264"/>
      <w:r>
        <w:t>There is no expected dilution of precision of UE positioning due to estimation of satellite assistance information.</w:t>
      </w:r>
      <w:bookmarkEnd w:id="6"/>
      <w:r>
        <w:t xml:space="preserve"> </w:t>
      </w:r>
    </w:p>
    <w:p w14:paraId="1EC9E1F7" w14:textId="4A9AF989" w:rsidR="00414A70" w:rsidRDefault="00883F23" w:rsidP="008C39F7">
      <w:r>
        <w:t xml:space="preserve">Another problem, though, relates to the common delay information in case of regenerative architectures. </w:t>
      </w:r>
      <w:r w:rsidR="00A04D82">
        <w:t xml:space="preserve">An investigation of UE precision of common delay estimation is provided in </w:t>
      </w:r>
      <w:r w:rsidR="00F177B8">
        <w:fldChar w:fldCharType="begin"/>
      </w:r>
      <w:r w:rsidR="00F177B8">
        <w:instrText xml:space="preserve"> REF _Ref165987797 \r \h </w:instrText>
      </w:r>
      <w:r w:rsidR="00F177B8">
        <w:fldChar w:fldCharType="separate"/>
      </w:r>
      <w:r w:rsidR="00F177B8">
        <w:t>[5]</w:t>
      </w:r>
      <w:r w:rsidR="00F177B8">
        <w:fldChar w:fldCharType="end"/>
      </w:r>
      <w:r w:rsidR="00A04D82">
        <w:fldChar w:fldCharType="begin"/>
      </w:r>
      <w:r w:rsidR="00A04D82">
        <w:instrText xml:space="preserve"> REF _Ref166011109 \r \h </w:instrText>
      </w:r>
      <w:r w:rsidR="00A73E44">
        <w:fldChar w:fldCharType="separate"/>
      </w:r>
      <w:r w:rsidR="00A04D82">
        <w:fldChar w:fldCharType="end"/>
      </w:r>
      <w:r w:rsidR="00A04D82">
        <w:t xml:space="preserve"> and</w:t>
      </w:r>
      <w:r w:rsidR="00F177B8">
        <w:t xml:space="preserve"> </w:t>
      </w:r>
      <w:r w:rsidR="00F177B8">
        <w:fldChar w:fldCharType="begin"/>
      </w:r>
      <w:r w:rsidR="00F177B8">
        <w:instrText xml:space="preserve"> REF _Ref166498738 \r \h </w:instrText>
      </w:r>
      <w:r w:rsidR="00F177B8">
        <w:fldChar w:fldCharType="separate"/>
      </w:r>
      <w:r w:rsidR="00F177B8">
        <w:t>[6]</w:t>
      </w:r>
      <w:r w:rsidR="00F177B8">
        <w:fldChar w:fldCharType="end"/>
      </w:r>
      <w:r w:rsidR="00A04D82">
        <w:t xml:space="preserve">. Observe that the UE can estimate ephemeris for long periods of time, as long as there is short interval between consecutive SIB with updated information, </w:t>
      </w:r>
      <w:r w:rsidR="00A04D82">
        <w:lastRenderedPageBreak/>
        <w:t>such as the UE can derive the 3</w:t>
      </w:r>
      <w:r w:rsidR="00A04D82" w:rsidRPr="00A04D82">
        <w:rPr>
          <w:vertAlign w:val="superscript"/>
        </w:rPr>
        <w:t>rd</w:t>
      </w:r>
      <w:r w:rsidR="00A04D82">
        <w:t xml:space="preserve"> order parameters for a more robust precision. </w:t>
      </w:r>
      <w:r w:rsidR="00414A70">
        <w:t xml:space="preserve">The results are replicated in this contribution in </w:t>
      </w:r>
      <w:r w:rsidR="00414A70">
        <w:fldChar w:fldCharType="begin"/>
      </w:r>
      <w:r w:rsidR="00414A70">
        <w:instrText xml:space="preserve"> REF _Ref86929953 \h </w:instrText>
      </w:r>
      <w:r w:rsidR="00414A70">
        <w:fldChar w:fldCharType="separate"/>
      </w:r>
      <w:r w:rsidR="00414A70">
        <w:t xml:space="preserve">Figure </w:t>
      </w:r>
      <w:r w:rsidR="00414A70">
        <w:rPr>
          <w:noProof/>
        </w:rPr>
        <w:t>1</w:t>
      </w:r>
      <w:r w:rsidR="00414A70">
        <w:fldChar w:fldCharType="end"/>
      </w:r>
      <w:r w:rsidR="00414A70">
        <w:t xml:space="preserve">. Observe that, by using mathematical interpolation of the values provided in the ephemeris information, the UE </w:t>
      </w:r>
      <w:r w:rsidR="00A04D82">
        <w:t>is capable of good approximation by 3</w:t>
      </w:r>
      <w:r w:rsidR="00A04D82" w:rsidRPr="00A04D82">
        <w:rPr>
          <w:vertAlign w:val="superscript"/>
        </w:rPr>
        <w:t>rd</w:t>
      </w:r>
      <w:r w:rsidR="00A04D82">
        <w:t xml:space="preserve"> order prediction, however, for the 3</w:t>
      </w:r>
      <w:r w:rsidR="00A04D82" w:rsidRPr="00A04D82">
        <w:rPr>
          <w:vertAlign w:val="superscript"/>
        </w:rPr>
        <w:t>rd</w:t>
      </w:r>
      <w:r w:rsidR="00A04D82">
        <w:t xml:space="preserve"> order prediction to be enabled the UE needs to read consecutive SIB versions within few seconds. </w:t>
      </w:r>
    </w:p>
    <w:p w14:paraId="3F2A3C2B" w14:textId="6622F55D" w:rsidR="00A04D82" w:rsidRDefault="00A04D82" w:rsidP="00A04D82">
      <w:pPr>
        <w:pStyle w:val="RAN4observation0"/>
      </w:pPr>
      <w:bookmarkStart w:id="7" w:name="_Toc166505265"/>
      <w:r>
        <w:t>For NGSO satellite the UE is capable of enhance the tracking the common delay values by using consecutive versions of SIB19</w:t>
      </w:r>
      <w:bookmarkEnd w:id="7"/>
    </w:p>
    <w:p w14:paraId="3BACAF68" w14:textId="23B6D0C2" w:rsidR="00A04D82" w:rsidRDefault="00A04D82" w:rsidP="00A04D82">
      <w:r>
        <w:t xml:space="preserve">However, it is important to remember that </w:t>
      </w:r>
      <w:r w:rsidRPr="00A04D82">
        <w:rPr>
          <w:b/>
          <w:bCs/>
          <w:u w:val="single"/>
        </w:rPr>
        <w:t xml:space="preserve">case 3 </w:t>
      </w:r>
      <w:r>
        <w:t xml:space="preserve">is specifically and exclusively related to operations in GSO satellites, which provide a much slower-varying progression of the common delay. Therefore, it is reasonable to assume that UE predictions will be significantly better over time when compared to the ones obtained for NGSO satellites at 600 kms. </w:t>
      </w:r>
    </w:p>
    <w:p w14:paraId="61CBBFBF" w14:textId="3808A463" w:rsidR="00A04D82" w:rsidRPr="00A04D82" w:rsidRDefault="00A04D82" w:rsidP="00A04D82">
      <w:pPr>
        <w:pStyle w:val="RAN4proposal"/>
      </w:pPr>
      <w:bookmarkStart w:id="8" w:name="_Toc166505266"/>
      <w:r>
        <w:t>Do not use side conditions on refresh rate of satellite assistance information for the transmit timing accuracy requirements in case 3.</w:t>
      </w:r>
      <w:bookmarkEnd w:id="8"/>
      <w:r>
        <w:t xml:space="preserve"> </w:t>
      </w:r>
    </w:p>
    <w:tbl>
      <w:tblPr>
        <w:tblStyle w:val="TableGrid"/>
        <w:tblW w:w="9675" w:type="dxa"/>
        <w:tblInd w:w="3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0"/>
        <w:gridCol w:w="4785"/>
      </w:tblGrid>
      <w:tr w:rsidR="00414A70" w14:paraId="0DB15A20" w14:textId="77777777" w:rsidTr="00414A70">
        <w:tc>
          <w:tcPr>
            <w:tcW w:w="4888" w:type="dxa"/>
            <w:vAlign w:val="center"/>
            <w:hideMark/>
          </w:tcPr>
          <w:p w14:paraId="2A1ADB98" w14:textId="0F908F35" w:rsidR="00414A70" w:rsidRDefault="00414A70">
            <w:pPr>
              <w:spacing w:before="120"/>
              <w:jc w:val="center"/>
              <w:rPr>
                <w:iCs/>
                <w:lang w:val="en-US"/>
              </w:rPr>
            </w:pPr>
            <w:r>
              <w:rPr>
                <w:noProof/>
                <w:lang w:val="en-US"/>
              </w:rPr>
              <w:drawing>
                <wp:inline distT="0" distB="0" distL="0" distR="0" wp14:anchorId="50A7A66A" wp14:editId="30D26411">
                  <wp:extent cx="2933700" cy="2200275"/>
                  <wp:effectExtent l="0" t="0" r="0" b="9525"/>
                  <wp:docPr id="2018362128" name="Pictur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 picture containing 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0" cy="2200275"/>
                          </a:xfrm>
                          <a:prstGeom prst="rect">
                            <a:avLst/>
                          </a:prstGeom>
                          <a:noFill/>
                          <a:ln>
                            <a:noFill/>
                          </a:ln>
                        </pic:spPr>
                      </pic:pic>
                    </a:graphicData>
                  </a:graphic>
                </wp:inline>
              </w:drawing>
            </w:r>
          </w:p>
          <w:p w14:paraId="6367209F" w14:textId="77777777" w:rsidR="00414A70" w:rsidRDefault="00414A70">
            <w:pPr>
              <w:jc w:val="center"/>
              <w:rPr>
                <w:iCs/>
                <w:lang w:val="en-US"/>
              </w:rPr>
            </w:pPr>
            <w:r>
              <w:rPr>
                <w:iCs/>
                <w:lang w:val="en-US"/>
              </w:rPr>
              <w:t>(a)</w:t>
            </w:r>
          </w:p>
        </w:tc>
        <w:tc>
          <w:tcPr>
            <w:tcW w:w="4784" w:type="dxa"/>
            <w:vAlign w:val="center"/>
            <w:hideMark/>
          </w:tcPr>
          <w:p w14:paraId="065B5BC4" w14:textId="42905663" w:rsidR="00414A70" w:rsidRDefault="00414A70">
            <w:pPr>
              <w:spacing w:before="120"/>
              <w:jc w:val="center"/>
              <w:rPr>
                <w:iCs/>
                <w:lang w:val="en-US"/>
              </w:rPr>
            </w:pPr>
            <w:r>
              <w:rPr>
                <w:noProof/>
                <w:lang w:val="en-US"/>
              </w:rPr>
              <w:drawing>
                <wp:inline distT="0" distB="0" distL="0" distR="0" wp14:anchorId="4AA80028" wp14:editId="41673E6B">
                  <wp:extent cx="2933700" cy="2200275"/>
                  <wp:effectExtent l="0" t="0" r="0" b="9525"/>
                  <wp:docPr id="1152730080"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 picture containing 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0" cy="2200275"/>
                          </a:xfrm>
                          <a:prstGeom prst="rect">
                            <a:avLst/>
                          </a:prstGeom>
                          <a:noFill/>
                          <a:ln>
                            <a:noFill/>
                          </a:ln>
                        </pic:spPr>
                      </pic:pic>
                    </a:graphicData>
                  </a:graphic>
                </wp:inline>
              </w:drawing>
            </w:r>
          </w:p>
          <w:p w14:paraId="79DC262C" w14:textId="77777777" w:rsidR="00414A70" w:rsidRDefault="00414A70">
            <w:pPr>
              <w:jc w:val="center"/>
              <w:rPr>
                <w:iCs/>
                <w:lang w:val="en-US"/>
              </w:rPr>
            </w:pPr>
            <w:r>
              <w:rPr>
                <w:iCs/>
                <w:lang w:val="en-US"/>
              </w:rPr>
              <w:t>(b)</w:t>
            </w:r>
          </w:p>
        </w:tc>
      </w:tr>
    </w:tbl>
    <w:p w14:paraId="67DB4614" w14:textId="5D2DF197" w:rsidR="00414A70" w:rsidRDefault="00414A70" w:rsidP="00414A70">
      <w:pPr>
        <w:pStyle w:val="Caption"/>
        <w:spacing w:after="240"/>
        <w:rPr>
          <w:rFonts w:asciiTheme="minorHAnsi" w:hAnsiTheme="minorHAnsi"/>
          <w:iCs w:val="0"/>
          <w:kern w:val="2"/>
          <w:sz w:val="22"/>
          <w:szCs w:val="22"/>
          <w14:ligatures w14:val="standardContextual"/>
        </w:rPr>
      </w:pPr>
      <w:bookmarkStart w:id="9" w:name="_Ref86929953"/>
      <w:r>
        <w:t xml:space="preserve">Figure </w:t>
      </w:r>
      <w:r>
        <w:fldChar w:fldCharType="begin"/>
      </w:r>
      <w:r>
        <w:instrText xml:space="preserve"> SEQ Figure \* ARABIC </w:instrText>
      </w:r>
      <w:r>
        <w:fldChar w:fldCharType="separate"/>
      </w:r>
      <w:r>
        <w:rPr>
          <w:noProof/>
        </w:rPr>
        <w:t>1</w:t>
      </w:r>
      <w:r>
        <w:fldChar w:fldCharType="end"/>
      </w:r>
      <w:bookmarkEnd w:id="9"/>
      <w:r>
        <w:t xml:space="preserve">. Common TA prediction error using 2nd order (a) and 3rd order (b) approximation when the LEO elevation angle is 20⁰, 40⁰, 60⁰, and 80⁰ at time </w:t>
      </w:r>
      <m:oMath>
        <m:r>
          <m:rPr>
            <m:sty m:val="bi"/>
          </m:rPr>
          <w:rPr>
            <w:rFonts w:ascii="Cambria Math" w:hAnsi="Cambria Math"/>
          </w:rPr>
          <m:t>t</m:t>
        </m:r>
        <m:r>
          <w:rPr>
            <w:rFonts w:ascii="Cambria Math" w:hAnsi="Cambria Math"/>
          </w:rPr>
          <m:t>=</m:t>
        </m:r>
        <m:r>
          <m:rPr>
            <m:sty m:val="bi"/>
          </m:rPr>
          <w:rPr>
            <w:rFonts w:ascii="Cambria Math" w:hAnsi="Cambria Math"/>
          </w:rPr>
          <m:t>0</m:t>
        </m:r>
      </m:oMath>
      <w:r>
        <w:t>, i.e., at the epoch time.</w:t>
      </w:r>
    </w:p>
    <w:p w14:paraId="6DE4450B" w14:textId="77777777" w:rsidR="00E34BBA" w:rsidRPr="008C39F7" w:rsidRDefault="00BD647D" w:rsidP="00E34BBA">
      <w:pPr>
        <w:pStyle w:val="RAN4H1"/>
      </w:pPr>
      <w:r>
        <w:t xml:space="preserve"> </w:t>
      </w:r>
      <w:bookmarkStart w:id="10" w:name="_Toc116995848"/>
      <w:r w:rsidR="00E34BBA" w:rsidRPr="008C39F7">
        <w:t>Conclusion</w:t>
      </w:r>
      <w:bookmarkEnd w:id="10"/>
    </w:p>
    <w:p w14:paraId="4BA2BF40" w14:textId="67777AAD" w:rsidR="00E34BBA" w:rsidRPr="008C39F7" w:rsidRDefault="00E34BBA" w:rsidP="00E34BBA">
      <w:r w:rsidRPr="0023526B">
        <w:t xml:space="preserve">The paper has discussed the </w:t>
      </w:r>
      <w:r>
        <w:t>need of side conditions for the applicability of transmit timing accuracy requirements in FR2-NTN. The following observations and proposals were made in this paper:</w:t>
      </w:r>
    </w:p>
    <w:p w14:paraId="6566BE99" w14:textId="670F0525" w:rsidR="00A73E44" w:rsidRDefault="00E34BBA">
      <w:pPr>
        <w:pStyle w:val="TOC1"/>
        <w:rPr>
          <w:rFonts w:asciiTheme="minorHAnsi" w:eastAsiaTheme="minorEastAsia" w:hAnsiTheme="minorHAnsi"/>
          <w:b w:val="0"/>
          <w:iCs w:val="0"/>
          <w:kern w:val="2"/>
          <w:sz w:val="22"/>
          <w:lang w:eastAsia="zh-CN"/>
          <w14:ligatures w14:val="standardContextual"/>
        </w:rPr>
      </w:pPr>
      <w:r>
        <w:fldChar w:fldCharType="begin"/>
      </w:r>
      <w:r>
        <w:instrText xml:space="preserve"> TOC \n \h \z \t "RAN4 proposal;1;RAN4 observation;1" </w:instrText>
      </w:r>
      <w:r>
        <w:fldChar w:fldCharType="separate"/>
      </w:r>
      <w:hyperlink w:anchor="_Toc166505264" w:history="1">
        <w:r w:rsidR="00A73E44" w:rsidRPr="002F3DB0">
          <w:rPr>
            <w:rStyle w:val="Hyperlink"/>
          </w:rPr>
          <w:t>Observation 1: There is no expected dilution of precision of UE positioning due to estimation of satellite assistance information.</w:t>
        </w:r>
      </w:hyperlink>
    </w:p>
    <w:p w14:paraId="31AAE7CC" w14:textId="6AD55C15" w:rsidR="00A73E44" w:rsidRDefault="00A73E44">
      <w:pPr>
        <w:pStyle w:val="TOC1"/>
        <w:rPr>
          <w:rFonts w:asciiTheme="minorHAnsi" w:eastAsiaTheme="minorEastAsia" w:hAnsiTheme="minorHAnsi"/>
          <w:b w:val="0"/>
          <w:iCs w:val="0"/>
          <w:kern w:val="2"/>
          <w:sz w:val="22"/>
          <w:lang w:eastAsia="zh-CN"/>
          <w14:ligatures w14:val="standardContextual"/>
        </w:rPr>
      </w:pPr>
      <w:hyperlink w:anchor="_Toc166505265" w:history="1">
        <w:r w:rsidRPr="002F3DB0">
          <w:rPr>
            <w:rStyle w:val="Hyperlink"/>
          </w:rPr>
          <w:t>Observation 2: For NGSO satellite the UE is capable of enhance the tracking the common delay values by using consecutive versions of SIB19</w:t>
        </w:r>
      </w:hyperlink>
    </w:p>
    <w:p w14:paraId="048B4C63" w14:textId="5BD799B7" w:rsidR="00A73E44" w:rsidRDefault="00A73E44">
      <w:pPr>
        <w:pStyle w:val="TOC1"/>
        <w:rPr>
          <w:rFonts w:asciiTheme="minorHAnsi" w:eastAsiaTheme="minorEastAsia" w:hAnsiTheme="minorHAnsi"/>
          <w:b w:val="0"/>
          <w:iCs w:val="0"/>
          <w:kern w:val="2"/>
          <w:sz w:val="22"/>
          <w:lang w:eastAsia="zh-CN"/>
          <w14:ligatures w14:val="standardContextual"/>
        </w:rPr>
      </w:pPr>
      <w:hyperlink w:anchor="_Toc166505266" w:history="1">
        <w:r w:rsidRPr="002F3DB0">
          <w:rPr>
            <w:rStyle w:val="Hyperlink"/>
          </w:rPr>
          <w:t>Proposal 1: Do not use side conditions on refresh rate of satellite assistance information for the transmit timing accuracy requirements in case 3.</w:t>
        </w:r>
      </w:hyperlink>
    </w:p>
    <w:p w14:paraId="00A0EF07" w14:textId="6EFE2C2E" w:rsidR="00BD647D" w:rsidRDefault="00E34BBA" w:rsidP="00E34BBA">
      <w:pPr>
        <w:rPr>
          <w:lang w:val="en-US"/>
        </w:rPr>
      </w:pPr>
      <w:r>
        <w:fldChar w:fldCharType="end"/>
      </w:r>
    </w:p>
    <w:p w14:paraId="218CFCEE"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5"/>
    </w:p>
    <w:p w14:paraId="38CFFCE5" w14:textId="77777777" w:rsidR="004E7EC0" w:rsidRDefault="004E7EC0" w:rsidP="004E7EC0">
      <w:pPr>
        <w:numPr>
          <w:ilvl w:val="0"/>
          <w:numId w:val="21"/>
        </w:numPr>
        <w:overflowPunct w:val="0"/>
        <w:autoSpaceDE w:val="0"/>
        <w:autoSpaceDN w:val="0"/>
        <w:adjustRightInd w:val="0"/>
        <w:spacing w:after="0" w:line="240" w:lineRule="auto"/>
        <w:jc w:val="both"/>
        <w:textAlignment w:val="baseline"/>
      </w:pPr>
      <w:bookmarkStart w:id="11" w:name="_Ref114500673"/>
      <w:bookmarkStart w:id="12" w:name="_Ref54013899"/>
      <w:bookmarkStart w:id="13" w:name="_Ref141960737"/>
      <w:bookmarkStart w:id="14" w:name="_Ref118130196"/>
      <w:bookmarkStart w:id="15" w:name="_Ref158813489"/>
      <w:bookmarkEnd w:id="11"/>
      <w:r w:rsidRPr="00FD51CE">
        <w:t>RP-223534</w:t>
      </w:r>
      <w:r w:rsidRPr="00FF6B64">
        <w:t xml:space="preserve">, </w:t>
      </w:r>
      <w:bookmarkEnd w:id="12"/>
      <w:r w:rsidRPr="00917899">
        <w:rPr>
          <w:i/>
          <w:iCs/>
        </w:rPr>
        <w:t>“NR NTN (Non-Terrestrial Networks) enhancements”</w:t>
      </w:r>
      <w:r>
        <w:t>, Thales</w:t>
      </w:r>
      <w:bookmarkEnd w:id="13"/>
    </w:p>
    <w:p w14:paraId="267010A7" w14:textId="77777777" w:rsidR="004E7EC0" w:rsidRDefault="004E7EC0" w:rsidP="004E7EC0">
      <w:pPr>
        <w:pStyle w:val="ListParagraph"/>
        <w:numPr>
          <w:ilvl w:val="0"/>
          <w:numId w:val="21"/>
        </w:numPr>
        <w:ind w:right="-22"/>
      </w:pPr>
      <w:bookmarkStart w:id="16" w:name="_Ref158818293"/>
      <w:bookmarkStart w:id="17" w:name="_Ref163487327"/>
      <w:r w:rsidRPr="0086642C">
        <w:t>R4-2403492</w:t>
      </w:r>
      <w:r>
        <w:t xml:space="preserve">, </w:t>
      </w:r>
      <w:r w:rsidRPr="0086642C">
        <w:rPr>
          <w:rFonts w:cs="Arial"/>
          <w:i/>
          <w:iCs/>
          <w:sz w:val="18"/>
          <w:szCs w:val="18"/>
        </w:rPr>
        <w:t xml:space="preserve">WF on NTN RRM requirements, </w:t>
      </w:r>
      <w:r w:rsidRPr="0099133A">
        <w:t xml:space="preserve">Moderator (Qualcomm Incorporated), </w:t>
      </w:r>
      <w:r w:rsidRPr="00381F95">
        <w:t>RAN</w:t>
      </w:r>
      <w:r>
        <w:t>4</w:t>
      </w:r>
      <w:r w:rsidRPr="00381F95">
        <w:t>#1</w:t>
      </w:r>
      <w:r>
        <w:t>10</w:t>
      </w:r>
      <w:r w:rsidRPr="00381F95">
        <w:t xml:space="preserve">, </w:t>
      </w:r>
      <w:bookmarkEnd w:id="16"/>
      <w:r w:rsidRPr="0086642C">
        <w:t>Athens,</w:t>
      </w:r>
      <w:r>
        <w:t xml:space="preserve"> Greece</w:t>
      </w:r>
      <w:r w:rsidRPr="0086642C">
        <w:t>, 26 Feb – 01 Mar, 2024</w:t>
      </w:r>
      <w:bookmarkEnd w:id="17"/>
    </w:p>
    <w:p w14:paraId="793A0B7E" w14:textId="24694BA4" w:rsidR="00BD647D" w:rsidRDefault="00BD647D" w:rsidP="004E7EC0">
      <w:pPr>
        <w:pStyle w:val="ListParagraph"/>
        <w:numPr>
          <w:ilvl w:val="0"/>
          <w:numId w:val="21"/>
        </w:numPr>
        <w:ind w:right="-22"/>
      </w:pPr>
      <w:bookmarkStart w:id="18" w:name="_Ref165987384"/>
      <w:r w:rsidRPr="00BD647D">
        <w:t xml:space="preserve">R4-2405013, </w:t>
      </w:r>
      <w:r w:rsidRPr="00BD647D">
        <w:rPr>
          <w:i/>
          <w:iCs/>
        </w:rPr>
        <w:t>Core requirements on NR-NTN RRM requirements in above 10 GHz bands</w:t>
      </w:r>
      <w:r w:rsidRPr="00BD647D">
        <w:t>, Ericsson, Changsha, China, April 15-19, 2024</w:t>
      </w:r>
      <w:bookmarkEnd w:id="18"/>
    </w:p>
    <w:p w14:paraId="01B16947" w14:textId="7D92DF9C" w:rsidR="00F177B8" w:rsidRPr="00BD647D" w:rsidRDefault="00F177B8" w:rsidP="004E7EC0">
      <w:pPr>
        <w:pStyle w:val="ListParagraph"/>
        <w:numPr>
          <w:ilvl w:val="0"/>
          <w:numId w:val="21"/>
        </w:numPr>
        <w:ind w:right="-22"/>
      </w:pPr>
      <w:bookmarkStart w:id="19" w:name="_Ref166498964"/>
      <w:r w:rsidRPr="00F177B8">
        <w:t>R1-2104256</w:t>
      </w:r>
      <w:r>
        <w:t xml:space="preserve">, </w:t>
      </w:r>
      <w:r w:rsidRPr="00F177B8">
        <w:rPr>
          <w:i/>
          <w:iCs/>
        </w:rPr>
        <w:t>“Discussion on UL time and frequency synchronization enhancement for NTN”,</w:t>
      </w:r>
      <w:r>
        <w:t xml:space="preserve"> </w:t>
      </w:r>
      <w:r w:rsidRPr="00F177B8">
        <w:t xml:space="preserve">Huawei, </w:t>
      </w:r>
      <w:proofErr w:type="spellStart"/>
      <w:r w:rsidRPr="00F177B8">
        <w:t>HiSilicon</w:t>
      </w:r>
      <w:proofErr w:type="spellEnd"/>
      <w:r>
        <w:t xml:space="preserve">, </w:t>
      </w:r>
      <w:r w:rsidRPr="00F177B8">
        <w:t>RAN WG1 Meeting #105-e</w:t>
      </w:r>
      <w:r>
        <w:t xml:space="preserve">, </w:t>
      </w:r>
      <w:r w:rsidRPr="00F177B8">
        <w:t>E-meeting, May 10th – May 27th, 2021</w:t>
      </w:r>
      <w:bookmarkEnd w:id="19"/>
    </w:p>
    <w:p w14:paraId="1AFA46C4" w14:textId="043942F0" w:rsidR="00414A70" w:rsidRDefault="00414A70" w:rsidP="004E7EC0">
      <w:pPr>
        <w:pStyle w:val="ListParagraph"/>
        <w:numPr>
          <w:ilvl w:val="0"/>
          <w:numId w:val="21"/>
        </w:numPr>
      </w:pPr>
      <w:bookmarkStart w:id="20" w:name="_Ref165987797"/>
      <w:bookmarkStart w:id="21" w:name="_Ref163487814"/>
      <w:r w:rsidRPr="00414A70">
        <w:lastRenderedPageBreak/>
        <w:t>R1-2403079</w:t>
      </w:r>
      <w:r>
        <w:t xml:space="preserve">, </w:t>
      </w:r>
      <w:r w:rsidRPr="00414A70">
        <w:rPr>
          <w:i/>
          <w:iCs/>
        </w:rPr>
        <w:t>Further discussion on NR over NTN operation in frequency bands defined by FR2-NTN</w:t>
      </w:r>
      <w:r>
        <w:rPr>
          <w:i/>
          <w:iCs/>
        </w:rPr>
        <w:t xml:space="preserve">, </w:t>
      </w:r>
      <w:r w:rsidRPr="00414A70">
        <w:t>Changsha, China, 15 – 19 April, 2024</w:t>
      </w:r>
      <w:bookmarkEnd w:id="20"/>
    </w:p>
    <w:p w14:paraId="019A8592" w14:textId="587EF7AF" w:rsidR="00A04D82" w:rsidRPr="00414A70" w:rsidRDefault="00F177B8" w:rsidP="00A04D82">
      <w:pPr>
        <w:pStyle w:val="ListParagraph"/>
        <w:numPr>
          <w:ilvl w:val="0"/>
          <w:numId w:val="21"/>
        </w:numPr>
      </w:pPr>
      <w:bookmarkStart w:id="22" w:name="_Ref166011109"/>
      <w:bookmarkStart w:id="23" w:name="_Ref166498738"/>
      <w:r w:rsidRPr="00F177B8">
        <w:t>R1-2109165</w:t>
      </w:r>
      <w:r w:rsidR="00A04D82">
        <w:t xml:space="preserve">, </w:t>
      </w:r>
      <w:r w:rsidRPr="00F177B8">
        <w:rPr>
          <w:i/>
          <w:iCs/>
        </w:rPr>
        <w:t>Further discussion on synchronization aspects for NR over NTN</w:t>
      </w:r>
      <w:r w:rsidR="00A04D82">
        <w:rPr>
          <w:i/>
          <w:iCs/>
        </w:rPr>
        <w:t xml:space="preserve">, </w:t>
      </w:r>
      <w:r>
        <w:t xml:space="preserve">RAN1 #106bis, </w:t>
      </w:r>
      <w:bookmarkEnd w:id="22"/>
      <w:r w:rsidRPr="00F177B8">
        <w:t>e-Meeting, 11 – 19 October, 2021</w:t>
      </w:r>
      <w:bookmarkEnd w:id="23"/>
    </w:p>
    <w:bookmarkEnd w:id="21"/>
    <w:bookmarkEnd w:id="14"/>
    <w:bookmarkEnd w:id="15"/>
    <w:p w14:paraId="6C26B3FD" w14:textId="75C78A12" w:rsidR="00E43BF9" w:rsidRPr="00372776" w:rsidRDefault="00E43BF9" w:rsidP="006C02A9">
      <w:pPr>
        <w:ind w:left="360"/>
      </w:pPr>
    </w:p>
    <w:sectPr w:rsidR="00E43BF9" w:rsidRPr="00372776" w:rsidSect="00667F5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9EEE5" w14:textId="77777777" w:rsidR="00667F53" w:rsidRDefault="00667F53" w:rsidP="00001C9B">
      <w:pPr>
        <w:spacing w:after="0" w:line="240" w:lineRule="auto"/>
      </w:pPr>
      <w:r>
        <w:separator/>
      </w:r>
    </w:p>
  </w:endnote>
  <w:endnote w:type="continuationSeparator" w:id="0">
    <w:p w14:paraId="7FE32765" w14:textId="77777777" w:rsidR="00667F53" w:rsidRDefault="00667F53" w:rsidP="00001C9B">
      <w:pPr>
        <w:spacing w:after="0" w:line="240" w:lineRule="auto"/>
      </w:pPr>
      <w:r>
        <w:continuationSeparator/>
      </w:r>
    </w:p>
  </w:endnote>
  <w:endnote w:type="continuationNotice" w:id="1">
    <w:p w14:paraId="4D64E217" w14:textId="77777777" w:rsidR="009151DE" w:rsidRDefault="009151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242E4" w14:textId="77777777" w:rsidR="00667F53" w:rsidRDefault="00667F53" w:rsidP="00001C9B">
      <w:pPr>
        <w:spacing w:after="0" w:line="240" w:lineRule="auto"/>
      </w:pPr>
      <w:r>
        <w:separator/>
      </w:r>
    </w:p>
  </w:footnote>
  <w:footnote w:type="continuationSeparator" w:id="0">
    <w:p w14:paraId="6E06C83B" w14:textId="77777777" w:rsidR="00667F53" w:rsidRDefault="00667F53" w:rsidP="00001C9B">
      <w:pPr>
        <w:spacing w:after="0" w:line="240" w:lineRule="auto"/>
      </w:pPr>
      <w:r>
        <w:continuationSeparator/>
      </w:r>
    </w:p>
  </w:footnote>
  <w:footnote w:type="continuationNotice" w:id="1">
    <w:p w14:paraId="335C2DB3" w14:textId="77777777" w:rsidR="009151DE" w:rsidRDefault="009151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4"/>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893927055">
    <w:abstractNumId w:val="2"/>
  </w:num>
  <w:num w:numId="28" w16cid:durableId="7689634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67F53"/>
    <w:rsid w:val="00001BD6"/>
    <w:rsid w:val="00001C9B"/>
    <w:rsid w:val="000040DC"/>
    <w:rsid w:val="00011784"/>
    <w:rsid w:val="000151EF"/>
    <w:rsid w:val="000239F5"/>
    <w:rsid w:val="00072CCA"/>
    <w:rsid w:val="0008612A"/>
    <w:rsid w:val="00090E18"/>
    <w:rsid w:val="000A10BC"/>
    <w:rsid w:val="000A7F53"/>
    <w:rsid w:val="000B0056"/>
    <w:rsid w:val="000C3C7B"/>
    <w:rsid w:val="000D0F93"/>
    <w:rsid w:val="00106416"/>
    <w:rsid w:val="00110481"/>
    <w:rsid w:val="001127C9"/>
    <w:rsid w:val="00114498"/>
    <w:rsid w:val="00115B88"/>
    <w:rsid w:val="00122F95"/>
    <w:rsid w:val="00132F6A"/>
    <w:rsid w:val="00133913"/>
    <w:rsid w:val="00140221"/>
    <w:rsid w:val="00157F14"/>
    <w:rsid w:val="001642FC"/>
    <w:rsid w:val="0016496B"/>
    <w:rsid w:val="001743E2"/>
    <w:rsid w:val="001745F8"/>
    <w:rsid w:val="001838CF"/>
    <w:rsid w:val="001868EE"/>
    <w:rsid w:val="00186AAD"/>
    <w:rsid w:val="001A3BA4"/>
    <w:rsid w:val="001A6D1F"/>
    <w:rsid w:val="001B1EA8"/>
    <w:rsid w:val="001C5F50"/>
    <w:rsid w:val="001E30F6"/>
    <w:rsid w:val="00217EE5"/>
    <w:rsid w:val="00235F5C"/>
    <w:rsid w:val="00257FA3"/>
    <w:rsid w:val="00277B56"/>
    <w:rsid w:val="00282A74"/>
    <w:rsid w:val="002849D4"/>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72776"/>
    <w:rsid w:val="00372D55"/>
    <w:rsid w:val="00381F95"/>
    <w:rsid w:val="003A710A"/>
    <w:rsid w:val="003B659E"/>
    <w:rsid w:val="003C275E"/>
    <w:rsid w:val="003C4FDE"/>
    <w:rsid w:val="003E58DF"/>
    <w:rsid w:val="00404C4C"/>
    <w:rsid w:val="0041423F"/>
    <w:rsid w:val="00414A70"/>
    <w:rsid w:val="00414F81"/>
    <w:rsid w:val="004159C2"/>
    <w:rsid w:val="00436A0F"/>
    <w:rsid w:val="00437150"/>
    <w:rsid w:val="0043750A"/>
    <w:rsid w:val="00447577"/>
    <w:rsid w:val="004732E9"/>
    <w:rsid w:val="004854BB"/>
    <w:rsid w:val="0049393F"/>
    <w:rsid w:val="00494493"/>
    <w:rsid w:val="00496606"/>
    <w:rsid w:val="004E5E66"/>
    <w:rsid w:val="004E7ADB"/>
    <w:rsid w:val="004E7EC0"/>
    <w:rsid w:val="00503B4D"/>
    <w:rsid w:val="00504EE9"/>
    <w:rsid w:val="00514E4F"/>
    <w:rsid w:val="00521576"/>
    <w:rsid w:val="005250E6"/>
    <w:rsid w:val="00542D23"/>
    <w:rsid w:val="0054442C"/>
    <w:rsid w:val="00550285"/>
    <w:rsid w:val="00562492"/>
    <w:rsid w:val="00572A20"/>
    <w:rsid w:val="005836F8"/>
    <w:rsid w:val="005918FA"/>
    <w:rsid w:val="00592A86"/>
    <w:rsid w:val="005B3029"/>
    <w:rsid w:val="005B4801"/>
    <w:rsid w:val="005C23A4"/>
    <w:rsid w:val="005D1CDF"/>
    <w:rsid w:val="005D2BB7"/>
    <w:rsid w:val="005D6FFE"/>
    <w:rsid w:val="005E61A8"/>
    <w:rsid w:val="005F6419"/>
    <w:rsid w:val="0060301D"/>
    <w:rsid w:val="0060543D"/>
    <w:rsid w:val="006104DD"/>
    <w:rsid w:val="006130B5"/>
    <w:rsid w:val="00614DD8"/>
    <w:rsid w:val="00616501"/>
    <w:rsid w:val="00617400"/>
    <w:rsid w:val="006308C2"/>
    <w:rsid w:val="00632D29"/>
    <w:rsid w:val="00664950"/>
    <w:rsid w:val="00667F53"/>
    <w:rsid w:val="00683220"/>
    <w:rsid w:val="00687FA0"/>
    <w:rsid w:val="00695E8C"/>
    <w:rsid w:val="006A3C11"/>
    <w:rsid w:val="006B7010"/>
    <w:rsid w:val="006C02A9"/>
    <w:rsid w:val="006C3095"/>
    <w:rsid w:val="006E1151"/>
    <w:rsid w:val="006E6311"/>
    <w:rsid w:val="007145FF"/>
    <w:rsid w:val="00715B2A"/>
    <w:rsid w:val="00733B21"/>
    <w:rsid w:val="007450F1"/>
    <w:rsid w:val="00746507"/>
    <w:rsid w:val="00751515"/>
    <w:rsid w:val="007626B7"/>
    <w:rsid w:val="0078212B"/>
    <w:rsid w:val="00784DF6"/>
    <w:rsid w:val="00785232"/>
    <w:rsid w:val="007B186C"/>
    <w:rsid w:val="007B7198"/>
    <w:rsid w:val="007C1696"/>
    <w:rsid w:val="007C3ED0"/>
    <w:rsid w:val="007C48C4"/>
    <w:rsid w:val="007C5971"/>
    <w:rsid w:val="007E42DC"/>
    <w:rsid w:val="007F54B9"/>
    <w:rsid w:val="00806A76"/>
    <w:rsid w:val="00811C9D"/>
    <w:rsid w:val="00816C80"/>
    <w:rsid w:val="0081797B"/>
    <w:rsid w:val="00841BCD"/>
    <w:rsid w:val="00847264"/>
    <w:rsid w:val="00851A8E"/>
    <w:rsid w:val="0085365B"/>
    <w:rsid w:val="008826C1"/>
    <w:rsid w:val="00883DFD"/>
    <w:rsid w:val="00883F23"/>
    <w:rsid w:val="0089210C"/>
    <w:rsid w:val="00893D2E"/>
    <w:rsid w:val="00897087"/>
    <w:rsid w:val="008A1BF7"/>
    <w:rsid w:val="008A5B0E"/>
    <w:rsid w:val="008B0961"/>
    <w:rsid w:val="008C39F7"/>
    <w:rsid w:val="0090091A"/>
    <w:rsid w:val="009042BD"/>
    <w:rsid w:val="00904FE4"/>
    <w:rsid w:val="009151DE"/>
    <w:rsid w:val="00927740"/>
    <w:rsid w:val="009302C1"/>
    <w:rsid w:val="00936159"/>
    <w:rsid w:val="00977E1D"/>
    <w:rsid w:val="00982E2F"/>
    <w:rsid w:val="009B0573"/>
    <w:rsid w:val="009B7B4B"/>
    <w:rsid w:val="009B7C21"/>
    <w:rsid w:val="009E4E6E"/>
    <w:rsid w:val="00A04992"/>
    <w:rsid w:val="00A04D82"/>
    <w:rsid w:val="00A147AA"/>
    <w:rsid w:val="00A21D71"/>
    <w:rsid w:val="00A22B78"/>
    <w:rsid w:val="00A246F7"/>
    <w:rsid w:val="00A25AE5"/>
    <w:rsid w:val="00A26442"/>
    <w:rsid w:val="00A37002"/>
    <w:rsid w:val="00A4355E"/>
    <w:rsid w:val="00A520D9"/>
    <w:rsid w:val="00A64DA0"/>
    <w:rsid w:val="00A73E44"/>
    <w:rsid w:val="00A92BCD"/>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81CDC"/>
    <w:rsid w:val="00BA308C"/>
    <w:rsid w:val="00BA6B66"/>
    <w:rsid w:val="00BA6E48"/>
    <w:rsid w:val="00BB7CB2"/>
    <w:rsid w:val="00BD647D"/>
    <w:rsid w:val="00BE0AF6"/>
    <w:rsid w:val="00BE1F03"/>
    <w:rsid w:val="00BE58A7"/>
    <w:rsid w:val="00BF2218"/>
    <w:rsid w:val="00C0426B"/>
    <w:rsid w:val="00C045DF"/>
    <w:rsid w:val="00C238E7"/>
    <w:rsid w:val="00C26D43"/>
    <w:rsid w:val="00C35173"/>
    <w:rsid w:val="00C46548"/>
    <w:rsid w:val="00C52756"/>
    <w:rsid w:val="00C574D5"/>
    <w:rsid w:val="00C73F32"/>
    <w:rsid w:val="00C87462"/>
    <w:rsid w:val="00CA180C"/>
    <w:rsid w:val="00CB22B2"/>
    <w:rsid w:val="00CC3EE2"/>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1248"/>
    <w:rsid w:val="00D85728"/>
    <w:rsid w:val="00D95481"/>
    <w:rsid w:val="00DC7A13"/>
    <w:rsid w:val="00DE7064"/>
    <w:rsid w:val="00DF2997"/>
    <w:rsid w:val="00E10BC4"/>
    <w:rsid w:val="00E1415D"/>
    <w:rsid w:val="00E213BD"/>
    <w:rsid w:val="00E323E9"/>
    <w:rsid w:val="00E32FB6"/>
    <w:rsid w:val="00E34018"/>
    <w:rsid w:val="00E34BBA"/>
    <w:rsid w:val="00E35FDE"/>
    <w:rsid w:val="00E437D2"/>
    <w:rsid w:val="00E43BF9"/>
    <w:rsid w:val="00E51930"/>
    <w:rsid w:val="00E55751"/>
    <w:rsid w:val="00E7398E"/>
    <w:rsid w:val="00EA2311"/>
    <w:rsid w:val="00EC7BC3"/>
    <w:rsid w:val="00ED7600"/>
    <w:rsid w:val="00EF6073"/>
    <w:rsid w:val="00EF698B"/>
    <w:rsid w:val="00F1362C"/>
    <w:rsid w:val="00F177B8"/>
    <w:rsid w:val="00F414F1"/>
    <w:rsid w:val="00F508B8"/>
    <w:rsid w:val="00F72CB1"/>
    <w:rsid w:val="00F8215E"/>
    <w:rsid w:val="00F824F5"/>
    <w:rsid w:val="00F90FAB"/>
    <w:rsid w:val="00F9374D"/>
    <w:rsid w:val="00FA0EEE"/>
    <w:rsid w:val="00FB4743"/>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10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0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16501"/>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 w:hAnsi="@SimSu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PLChar">
    <w:name w:val="PL Char"/>
    <w:link w:val="PL"/>
    <w:qFormat/>
    <w:locked/>
    <w:rsid w:val="00122F9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2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B1Char">
    <w:name w:val="B1 Char"/>
    <w:link w:val="B1"/>
    <w:qFormat/>
    <w:locked/>
    <w:rsid w:val="009302C1"/>
    <w:rPr>
      <w:rFonts w:ascii="Times New Roman" w:hAnsi="Times New Roman" w:cs="Times New Roman"/>
      <w:lang w:val="en-GB"/>
    </w:rPr>
  </w:style>
  <w:style w:type="paragraph" w:customStyle="1" w:styleId="B1">
    <w:name w:val="B1"/>
    <w:basedOn w:val="List"/>
    <w:link w:val="B1Char"/>
    <w:qFormat/>
    <w:rsid w:val="009302C1"/>
    <w:pPr>
      <w:spacing w:after="180" w:line="240" w:lineRule="auto"/>
      <w:ind w:left="568" w:hanging="284"/>
      <w:contextualSpacing w:val="0"/>
    </w:pPr>
    <w:rPr>
      <w:rFonts w:cs="Times New Roman"/>
      <w:sz w:val="22"/>
    </w:rPr>
  </w:style>
  <w:style w:type="paragraph" w:styleId="List">
    <w:name w:val="List"/>
    <w:basedOn w:val="Normal"/>
    <w:uiPriority w:val="99"/>
    <w:semiHidden/>
    <w:unhideWhenUsed/>
    <w:rsid w:val="009302C1"/>
    <w:pPr>
      <w:ind w:left="283" w:hanging="283"/>
      <w:contextualSpacing/>
    </w:pPr>
  </w:style>
  <w:style w:type="character" w:customStyle="1" w:styleId="CaptionChar1">
    <w:name w:val="Caption Char1"/>
    <w:aliases w:val="cap Char1,cap Char Char,Caption Char Char,Caption Char1 Char Char,cap Char Char1 Char,Caption Char Char1 Char Char,cap Char2 Char,题注 Char"/>
    <w:uiPriority w:val="35"/>
    <w:semiHidden/>
    <w:locked/>
    <w:rsid w:val="00414A70"/>
    <w:rPr>
      <w:b/>
      <w:kern w:val="2"/>
      <w:lang w:val="en-GB"/>
      <w14:ligatures w14:val="standardContextual"/>
    </w:rPr>
  </w:style>
  <w:style w:type="paragraph" w:styleId="Header">
    <w:name w:val="header"/>
    <w:basedOn w:val="Normal"/>
    <w:link w:val="HeaderChar"/>
    <w:uiPriority w:val="99"/>
    <w:unhideWhenUsed/>
    <w:rsid w:val="009151DE"/>
    <w:pPr>
      <w:tabs>
        <w:tab w:val="center" w:pos="4819"/>
        <w:tab w:val="right" w:pos="9638"/>
      </w:tabs>
      <w:spacing w:after="0" w:line="240" w:lineRule="auto"/>
    </w:pPr>
  </w:style>
  <w:style w:type="character" w:customStyle="1" w:styleId="HeaderChar">
    <w:name w:val="Header Char"/>
    <w:basedOn w:val="DefaultParagraphFont"/>
    <w:link w:val="Header"/>
    <w:uiPriority w:val="99"/>
    <w:rsid w:val="009151DE"/>
    <w:rPr>
      <w:rFonts w:ascii="Times New Roman" w:hAnsi="Times New Roman"/>
      <w:sz w:val="20"/>
      <w:lang w:val="en-GB"/>
    </w:rPr>
  </w:style>
  <w:style w:type="paragraph" w:styleId="Footer">
    <w:name w:val="footer"/>
    <w:basedOn w:val="Normal"/>
    <w:link w:val="FooterChar"/>
    <w:uiPriority w:val="99"/>
    <w:unhideWhenUsed/>
    <w:rsid w:val="009151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9151DE"/>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2742">
      <w:bodyDiv w:val="1"/>
      <w:marLeft w:val="0"/>
      <w:marRight w:val="0"/>
      <w:marTop w:val="0"/>
      <w:marBottom w:val="0"/>
      <w:divBdr>
        <w:top w:val="none" w:sz="0" w:space="0" w:color="auto"/>
        <w:left w:val="none" w:sz="0" w:space="0" w:color="auto"/>
        <w:bottom w:val="none" w:sz="0" w:space="0" w:color="auto"/>
        <w:right w:val="none" w:sz="0" w:space="0" w:color="auto"/>
      </w:divBdr>
    </w:div>
    <w:div w:id="798688478">
      <w:bodyDiv w:val="1"/>
      <w:marLeft w:val="0"/>
      <w:marRight w:val="0"/>
      <w:marTop w:val="0"/>
      <w:marBottom w:val="0"/>
      <w:divBdr>
        <w:top w:val="none" w:sz="0" w:space="0" w:color="auto"/>
        <w:left w:val="none" w:sz="0" w:space="0" w:color="auto"/>
        <w:bottom w:val="none" w:sz="0" w:space="0" w:color="auto"/>
        <w:right w:val="none" w:sz="0" w:space="0" w:color="auto"/>
      </w:divBdr>
    </w:div>
    <w:div w:id="1053120261">
      <w:bodyDiv w:val="1"/>
      <w:marLeft w:val="0"/>
      <w:marRight w:val="0"/>
      <w:marTop w:val="0"/>
      <w:marBottom w:val="0"/>
      <w:divBdr>
        <w:top w:val="none" w:sz="0" w:space="0" w:color="auto"/>
        <w:left w:val="none" w:sz="0" w:space="0" w:color="auto"/>
        <w:bottom w:val="none" w:sz="0" w:space="0" w:color="auto"/>
        <w:right w:val="none" w:sz="0" w:space="0" w:color="auto"/>
      </w:divBdr>
    </w:div>
    <w:div w:id="1088691371">
      <w:bodyDiv w:val="1"/>
      <w:marLeft w:val="0"/>
      <w:marRight w:val="0"/>
      <w:marTop w:val="0"/>
      <w:marBottom w:val="0"/>
      <w:divBdr>
        <w:top w:val="none" w:sz="0" w:space="0" w:color="auto"/>
        <w:left w:val="none" w:sz="0" w:space="0" w:color="auto"/>
        <w:bottom w:val="none" w:sz="0" w:space="0" w:color="auto"/>
        <w:right w:val="none" w:sz="0" w:space="0" w:color="auto"/>
      </w:divBdr>
    </w:div>
    <w:div w:id="1334911416">
      <w:bodyDiv w:val="1"/>
      <w:marLeft w:val="0"/>
      <w:marRight w:val="0"/>
      <w:marTop w:val="0"/>
      <w:marBottom w:val="0"/>
      <w:divBdr>
        <w:top w:val="none" w:sz="0" w:space="0" w:color="auto"/>
        <w:left w:val="none" w:sz="0" w:space="0" w:color="auto"/>
        <w:bottom w:val="none" w:sz="0" w:space="0" w:color="auto"/>
        <w:right w:val="none" w:sz="0" w:space="0" w:color="auto"/>
      </w:divBdr>
    </w:div>
    <w:div w:id="1508978193">
      <w:bodyDiv w:val="1"/>
      <w:marLeft w:val="0"/>
      <w:marRight w:val="0"/>
      <w:marTop w:val="0"/>
      <w:marBottom w:val="0"/>
      <w:divBdr>
        <w:top w:val="none" w:sz="0" w:space="0" w:color="auto"/>
        <w:left w:val="none" w:sz="0" w:space="0" w:color="auto"/>
        <w:bottom w:val="none" w:sz="0" w:space="0" w:color="auto"/>
        <w:right w:val="none" w:sz="0" w:space="0" w:color="auto"/>
      </w:divBdr>
    </w:div>
    <w:div w:id="1600945804">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83672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RBI5PAMIO524-1616901215-21758</_dlc_DocId>
    <HideFromDelve xmlns="71c5aaf6-e6ce-465b-b873-5148d2a4c105">false</HideFromDelve>
    <Comments xmlns="3f2ce089-3858-4176-9a21-a30f9204848e">OK</Comments>
    <_dlc_DocIdUrl xmlns="71c5aaf6-e6ce-465b-b873-5148d2a4c105">
      <Url>https://nokia.sharepoint.com/sites/gxp/_layouts/15/DocIdRedir.aspx?ID=RBI5PAMIO524-1616901215-21758</Url>
      <Description>RBI5PAMIO524-1616901215-21758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456C4DF-F8EF-4620-BE8D-FD26CBD5D840}">
  <ds:schemaRefs>
    <ds:schemaRef ds:uri="http://schemas.microsoft.com/sharepoint/v3/contenttype/forms"/>
  </ds:schemaRefs>
</ds:datastoreItem>
</file>

<file path=customXml/itemProps3.xml><?xml version="1.0" encoding="utf-8"?>
<ds:datastoreItem xmlns:ds="http://schemas.openxmlformats.org/officeDocument/2006/customXml" ds:itemID="{3FE0D719-704D-4B29-A2BF-EB1C1E006E6C}">
  <ds:schemaRefs>
    <ds:schemaRef ds:uri="http://schemas.microsoft.com/sharepoint/events"/>
  </ds:schemaRefs>
</ds:datastoreItem>
</file>

<file path=customXml/itemProps4.xml><?xml version="1.0" encoding="utf-8"?>
<ds:datastoreItem xmlns:ds="http://schemas.openxmlformats.org/officeDocument/2006/customXml" ds:itemID="{A1D56EAA-5887-4203-A55D-7D6265065C29}">
  <ds:schemaRefs>
    <ds:schemaRef ds:uri="Microsoft.SharePoint.Taxonomy.ContentTypeSync"/>
  </ds:schemaRefs>
</ds:datastoreItem>
</file>

<file path=customXml/itemProps5.xml><?xml version="1.0" encoding="utf-8"?>
<ds:datastoreItem xmlns:ds="http://schemas.openxmlformats.org/officeDocument/2006/customXml" ds:itemID="{EFC1E14A-9F28-47BB-8615-DABDCE5C28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1C91AF-CF69-48EE-84BE-BA89B4F9F07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2024-05-13T11:24:00Z</dcterms:created>
  <dcterms:modified xsi:type="dcterms:W3CDTF">2024-05-13T13:07:00Z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d4548be4-0e72-444d-8548-53bc29c7b29d</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